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hint="eastAsia"/>
          <w:lang w:eastAsia="zh-CN"/>
        </w:rPr>
      </w:pPr>
      <w:bookmarkStart w:id="0" w:name="_Ref399006623"/>
      <w:bookmarkStart w:id="1" w:name="_Toc92513360"/>
      <w:bookmarkStart w:id="2" w:name="_GoBack"/>
      <w:bookmarkEnd w:id="2"/>
      <w:r w:rsidRPr="0004538C">
        <w:t xml:space="preserve">3GPP TSG-RAN WG4 Meeting </w:t>
      </w:r>
      <w:r w:rsidR="00A57F1A" w:rsidRPr="00FA639F">
        <w:t>#</w:t>
      </w:r>
      <w:r w:rsidR="00BC45C8">
        <w:rPr>
          <w:rFonts w:cs="Arial"/>
          <w:sz w:val="20"/>
        </w:rPr>
        <w:t>9</w:t>
      </w:r>
      <w:r w:rsidR="00BD3E28">
        <w:rPr>
          <w:rFonts w:cs="Arial"/>
          <w:sz w:val="20"/>
        </w:rPr>
        <w:t>6</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4566B9" w:rsidRPr="004566B9">
        <w:t>R4-2010813</w:t>
      </w:r>
    </w:p>
    <w:p w:rsidR="00675C27" w:rsidRPr="00444A16" w:rsidRDefault="00BD3E28" w:rsidP="00F71A33">
      <w:pPr>
        <w:pStyle w:val="a1"/>
        <w:rPr>
          <w:rFonts w:eastAsia="宋体" w:hint="eastAsia"/>
          <w:lang w:eastAsia="zh-CN"/>
        </w:rPr>
      </w:pPr>
      <w:r w:rsidRPr="00BD3E28">
        <w:rPr>
          <w:rFonts w:eastAsia="宋体"/>
          <w:lang w:eastAsia="zh-CN"/>
        </w:rPr>
        <w:t>Electronic Meeting, 17-28 Aug., 2020</w:t>
      </w:r>
    </w:p>
    <w:p w:rsidR="00F71A33" w:rsidRPr="00F71A33" w:rsidRDefault="00F71A33" w:rsidP="00F71A33">
      <w:pPr>
        <w:pStyle w:val="a1"/>
        <w:rPr>
          <w:rFonts w:eastAsia="宋体" w:hint="eastAsia"/>
          <w:lang w:eastAsia="zh-CN"/>
        </w:rPr>
      </w:pPr>
    </w:p>
    <w:p w:rsidR="00911C40" w:rsidRPr="00F26092" w:rsidRDefault="00911C40" w:rsidP="00911C40">
      <w:pPr>
        <w:tabs>
          <w:tab w:val="left" w:pos="1985"/>
        </w:tabs>
        <w:jc w:val="both"/>
        <w:rPr>
          <w:rFonts w:ascii="Arial" w:hAnsi="Arial" w:cs="Arial" w:hint="eastAsia"/>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hint="eastAsia"/>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B7C33" w:rsidRPr="007B7C33">
        <w:rPr>
          <w:rFonts w:ascii="Arial" w:hAnsi="Arial" w:cs="Arial"/>
          <w:sz w:val="22"/>
        </w:rPr>
        <w:t>On Pi/2 BPSK DMRS</w:t>
      </w:r>
    </w:p>
    <w:p w:rsidR="00911C40" w:rsidRPr="0022403E" w:rsidRDefault="00911C40" w:rsidP="00911C40">
      <w:pPr>
        <w:ind w:left="1985" w:hanging="1985"/>
        <w:rPr>
          <w:rFonts w:ascii="Arial" w:hAnsi="Arial" w:cs="Arial" w:hint="eastAsia"/>
          <w:sz w:val="22"/>
        </w:rPr>
      </w:pPr>
      <w:r>
        <w:rPr>
          <w:rFonts w:ascii="Arial" w:hAnsi="Arial" w:cs="Arial" w:hint="eastAsia"/>
          <w:b/>
          <w:sz w:val="22"/>
        </w:rPr>
        <w:t>Agenda Item:</w:t>
      </w:r>
      <w:r>
        <w:rPr>
          <w:rFonts w:ascii="Arial" w:hAnsi="Arial" w:cs="Arial" w:hint="eastAsia"/>
          <w:sz w:val="22"/>
        </w:rPr>
        <w:tab/>
      </w:r>
      <w:r w:rsidR="004566B9" w:rsidRPr="004566B9">
        <w:rPr>
          <w:rFonts w:ascii="Arial" w:hAnsi="Arial" w:cs="Arial"/>
          <w:sz w:val="22"/>
        </w:rPr>
        <w:t>7.9.1.1</w:t>
      </w:r>
    </w:p>
    <w:p w:rsidR="00911C40" w:rsidRPr="00A62DA7" w:rsidRDefault="00911C40" w:rsidP="00911C40">
      <w:pPr>
        <w:tabs>
          <w:tab w:val="left" w:pos="1985"/>
        </w:tabs>
        <w:jc w:val="both"/>
        <w:rPr>
          <w:rFonts w:ascii="Arial" w:hAnsi="Arial" w:cs="Arial" w:hint="eastAsia"/>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hint="eastAsia"/>
          <w:lang w:eastAsia="zh-CN"/>
        </w:rPr>
      </w:pPr>
      <w:r>
        <w:rPr>
          <w:rFonts w:eastAsia="宋体" w:hint="eastAsia"/>
          <w:lang w:eastAsia="zh-CN"/>
        </w:rPr>
        <w:t>Introduction</w:t>
      </w:r>
    </w:p>
    <w:p w:rsidR="004B412D" w:rsidRDefault="00616901" w:rsidP="00506149">
      <w:r>
        <w:t>In RAN#88e, the eMIMO WI has been extended for one quarter, and the remaining issue for DMRS is “</w:t>
      </w:r>
      <w:r w:rsidRPr="00616901">
        <w:t>Identify necessary MPR improvement with Pi/2 BPSK DMRS and corresponding requirement if any</w:t>
      </w:r>
      <w:r>
        <w:t>”</w:t>
      </w:r>
      <w:r w:rsidR="00B6186B">
        <w:t xml:space="preserve"> [1]. </w:t>
      </w:r>
    </w:p>
    <w:p w:rsidR="00616901" w:rsidRDefault="00616901" w:rsidP="00506149">
      <w:pPr>
        <w:rPr>
          <w:rFonts w:hint="eastAsia"/>
        </w:rPr>
      </w:pPr>
      <w:r>
        <w:t xml:space="preserve">This contribution provides our further consideration for the sake of closing the WI on time. </w:t>
      </w:r>
    </w:p>
    <w:p w:rsidR="00062E8E" w:rsidRDefault="00062E8E" w:rsidP="00F23E96">
      <w:pPr>
        <w:pStyle w:val="Heading1"/>
        <w:spacing w:after="240"/>
        <w:rPr>
          <w:rFonts w:eastAsia="宋体"/>
          <w:lang w:eastAsia="zh-CN"/>
        </w:rPr>
      </w:pPr>
      <w:r>
        <w:rPr>
          <w:rFonts w:eastAsia="宋体" w:hint="eastAsia"/>
          <w:lang w:eastAsia="zh-CN"/>
        </w:rPr>
        <w:t>Discussion</w:t>
      </w:r>
    </w:p>
    <w:p w:rsidR="00AC05FA" w:rsidRDefault="00AC05FA" w:rsidP="00AC05FA">
      <w:pPr>
        <w:spacing w:before="120"/>
      </w:pPr>
      <w:r>
        <w:rPr>
          <w:lang w:val="en-US"/>
        </w:rPr>
        <w:t xml:space="preserve">In the agreed WF in </w:t>
      </w:r>
      <w:r>
        <w:rPr>
          <w:rFonts w:hint="eastAsia"/>
          <w:lang w:val="en-US"/>
        </w:rPr>
        <w:t>RAN4#</w:t>
      </w:r>
      <w:r>
        <w:rPr>
          <w:lang w:val="en-US"/>
        </w:rPr>
        <w:t>94</w:t>
      </w:r>
      <w:r>
        <w:rPr>
          <w:rFonts w:hint="eastAsia"/>
          <w:lang w:val="en-US"/>
        </w:rPr>
        <w:t>-</w:t>
      </w:r>
      <w:r>
        <w:rPr>
          <w:lang w:val="en-US"/>
        </w:rPr>
        <w:t xml:space="preserve">e-bis, for the Pi/2 BPSK DMRS, the focus of the study is limited to </w:t>
      </w:r>
      <w:r w:rsidRPr="00011DDF">
        <w:t xml:space="preserve">IE </w:t>
      </w:r>
      <w:r w:rsidRPr="00011DDF">
        <w:rPr>
          <w:i/>
          <w:iCs/>
        </w:rPr>
        <w:t>powerBoostPi2BPSK</w:t>
      </w:r>
      <w:r w:rsidRPr="00011DDF">
        <w:t xml:space="preserve"> set to 0</w:t>
      </w:r>
      <w:r>
        <w:t xml:space="preserve">, i.e. non-power-boosting scenario. The common understanding is that Pi/2 BPSK power boosting is based on FDSS implementation, thus the EVM flatness requirement is specified accordingly. However, even Pi/2 BPSK is an optional feature for FR1, not to say the FDSS implementation. Therefore, there is no assumption that </w:t>
      </w:r>
      <w:r w:rsidRPr="00011DDF">
        <w:t xml:space="preserve">IE </w:t>
      </w:r>
      <w:r w:rsidRPr="00011DDF">
        <w:rPr>
          <w:i/>
          <w:iCs/>
        </w:rPr>
        <w:t>powerBoostPi2BPSK</w:t>
      </w:r>
      <w:r w:rsidRPr="00011DDF">
        <w:t xml:space="preserve"> </w:t>
      </w:r>
      <w:r>
        <w:t xml:space="preserve">is </w:t>
      </w:r>
      <w:r w:rsidRPr="00011DDF">
        <w:t>set to 0</w:t>
      </w:r>
      <w:r>
        <w:t xml:space="preserve"> and FDSS would still be utilized. </w:t>
      </w:r>
    </w:p>
    <w:p w:rsidR="00AC05FA" w:rsidRPr="00AC05FA" w:rsidRDefault="00AC05FA" w:rsidP="00AC05FA">
      <w:pPr>
        <w:spacing w:before="120"/>
        <w:rPr>
          <w:b/>
          <w:i/>
          <w:lang w:val="en-US"/>
        </w:rPr>
      </w:pPr>
      <w:r w:rsidRPr="00AC05FA">
        <w:rPr>
          <w:b/>
          <w:i/>
        </w:rPr>
        <w:t xml:space="preserve">Observation 1: No assumption that FDSS is utilized when the IE </w:t>
      </w:r>
      <w:r w:rsidRPr="00AC05FA">
        <w:rPr>
          <w:b/>
          <w:i/>
          <w:iCs/>
        </w:rPr>
        <w:t>powerBoostPi2BPSK</w:t>
      </w:r>
      <w:r w:rsidRPr="00AC05FA">
        <w:rPr>
          <w:b/>
          <w:i/>
        </w:rPr>
        <w:t xml:space="preserve"> is set to 0. </w:t>
      </w:r>
    </w:p>
    <w:p w:rsidR="00AC05FA" w:rsidRDefault="00B6186B" w:rsidP="00AC05FA">
      <w:pPr>
        <w:spacing w:before="120"/>
        <w:rPr>
          <w:lang w:val="en-US"/>
        </w:rPr>
      </w:pPr>
      <w:r>
        <w:rPr>
          <w:lang w:val="en-US"/>
        </w:rPr>
        <w:t>One</w:t>
      </w:r>
      <w:r w:rsidR="00AC05FA">
        <w:rPr>
          <w:lang w:val="en-US"/>
        </w:rPr>
        <w:t xml:space="preserve"> purpose of the newly designed DMRS is that the new Pi/2 BPSK based sequence could have lower PAPR </w:t>
      </w:r>
      <w:r>
        <w:rPr>
          <w:lang w:val="en-US"/>
        </w:rPr>
        <w:t xml:space="preserve"> </w:t>
      </w:r>
      <w:r w:rsidR="00AC05FA">
        <w:rPr>
          <w:lang w:val="en-US"/>
        </w:rPr>
        <w:t>compared to ZC-based DMRS in Rel-15, however, the lower PAPR is achieved under pre-condition that FDSS is utilized. RAN1 had a lot of discussion on the sequence design as well as evaluation of PAPR for different implementation of FDSS [2][3]. To better understand the PAPR issue, figure below in [3] is cited here for illustration.</w:t>
      </w:r>
    </w:p>
    <w:p w:rsidR="00AC05FA" w:rsidRDefault="003E177F" w:rsidP="00AC05FA">
      <w:pPr>
        <w:spacing w:after="120"/>
        <w:jc w:val="center"/>
      </w:pPr>
      <w:r w:rsidRPr="004B5A10">
        <w:rPr>
          <w:noProof/>
          <w:lang w:val="en-US"/>
        </w:rPr>
        <w:drawing>
          <wp:inline distT="0" distB="0" distL="0" distR="0">
            <wp:extent cx="3844290" cy="25146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5804" t="4796" r="8189" b="-121"/>
                    <a:stretch>
                      <a:fillRect/>
                    </a:stretch>
                  </pic:blipFill>
                  <pic:spPr bwMode="auto">
                    <a:xfrm>
                      <a:off x="0" y="0"/>
                      <a:ext cx="3844290" cy="2514600"/>
                    </a:xfrm>
                    <a:prstGeom prst="rect">
                      <a:avLst/>
                    </a:prstGeom>
                    <a:noFill/>
                    <a:ln>
                      <a:noFill/>
                    </a:ln>
                  </pic:spPr>
                </pic:pic>
              </a:graphicData>
            </a:graphic>
          </wp:inline>
        </w:drawing>
      </w:r>
    </w:p>
    <w:p w:rsidR="00AC05FA" w:rsidRPr="004B5A10" w:rsidRDefault="00AC05FA" w:rsidP="00AC05FA">
      <w:pPr>
        <w:jc w:val="center"/>
        <w:rPr>
          <w:rFonts w:ascii="Arial" w:hAnsi="Arial" w:cs="Arial"/>
          <w:b/>
          <w:lang w:val="en-US"/>
        </w:rPr>
      </w:pPr>
      <w:r>
        <w:rPr>
          <w:rFonts w:ascii="Arial" w:hAnsi="Arial" w:cs="Arial"/>
          <w:b/>
        </w:rPr>
        <w:t>Figure 1</w:t>
      </w:r>
      <w:r w:rsidRPr="004B5A10">
        <w:rPr>
          <w:rFonts w:ascii="Arial" w:hAnsi="Arial" w:cs="Arial"/>
          <w:b/>
        </w:rPr>
        <w:t xml:space="preserve"> PAPR comparison among </w:t>
      </w:r>
      <m:oMath>
        <m:r>
          <m:rPr>
            <m:sty m:val="bi"/>
          </m:rPr>
          <w:rPr>
            <w:rFonts w:ascii="Cambria Math" w:hAnsi="Cambria Math"/>
            <w:sz w:val="18"/>
          </w:rPr>
          <m:t>π</m:t>
        </m:r>
      </m:oMath>
      <w:r w:rsidRPr="004B5A10">
        <w:rPr>
          <w:rFonts w:ascii="Arial" w:hAnsi="Arial" w:cs="Arial"/>
          <w:b/>
        </w:rPr>
        <w:t xml:space="preserve">/2 BPSK modulated random PUSCH data, </w:t>
      </w:r>
      <m:oMath>
        <m:r>
          <m:rPr>
            <m:sty m:val="bi"/>
          </m:rPr>
          <w:rPr>
            <w:rFonts w:ascii="Cambria Math" w:hAnsi="Cambria Math"/>
            <w:sz w:val="18"/>
          </w:rPr>
          <m:t>π</m:t>
        </m:r>
      </m:oMath>
      <w:r w:rsidRPr="004B5A10">
        <w:rPr>
          <w:rFonts w:ascii="Arial" w:hAnsi="Arial" w:cs="Arial"/>
          <w:b/>
        </w:rPr>
        <w:t>/2 BPSK based DMRS sequences and NR ZC sequences</w:t>
      </w:r>
    </w:p>
    <w:p w:rsidR="00AC05FA" w:rsidRDefault="00AC05FA" w:rsidP="00AC05FA">
      <w:pPr>
        <w:spacing w:before="120"/>
        <w:rPr>
          <w:lang w:val="en-US"/>
        </w:rPr>
      </w:pPr>
      <w:r>
        <w:rPr>
          <w:lang w:val="en-US"/>
        </w:rPr>
        <w:t xml:space="preserve">It can be seen that the PAPR improvement only occurs with application of FDSS, however, if non-FDSS techniques are utilized, the PAPR has no big difference for both Pi/2 BPSK based and ZC-based DMRS sequences. </w:t>
      </w:r>
    </w:p>
    <w:p w:rsidR="00AC05FA" w:rsidRDefault="00AC05FA" w:rsidP="00AC05FA">
      <w:pPr>
        <w:spacing w:before="120"/>
        <w:rPr>
          <w:b/>
          <w:i/>
          <w:lang w:val="en-US"/>
        </w:rPr>
      </w:pPr>
      <w:r w:rsidRPr="0075700C">
        <w:rPr>
          <w:b/>
          <w:i/>
          <w:lang w:val="en-US"/>
        </w:rPr>
        <w:lastRenderedPageBreak/>
        <w:t>Observation</w:t>
      </w:r>
      <w:r>
        <w:rPr>
          <w:b/>
          <w:i/>
          <w:lang w:val="en-US"/>
        </w:rPr>
        <w:t xml:space="preserve"> </w:t>
      </w:r>
      <w:r w:rsidR="00B6186B">
        <w:rPr>
          <w:b/>
          <w:i/>
          <w:lang w:val="en-US"/>
        </w:rPr>
        <w:t>2</w:t>
      </w:r>
      <w:r w:rsidRPr="0075700C">
        <w:rPr>
          <w:b/>
          <w:i/>
          <w:lang w:val="en-US"/>
        </w:rPr>
        <w:t>: PAPR improvement for DMRS sequence only occurs with condition that FDSS is utilized</w:t>
      </w:r>
    </w:p>
    <w:p w:rsidR="00AC05FA" w:rsidRDefault="00AC05FA" w:rsidP="00AC05FA">
      <w:pPr>
        <w:spacing w:before="120"/>
      </w:pPr>
      <w:r>
        <w:rPr>
          <w:lang w:val="en-US"/>
        </w:rPr>
        <w:t xml:space="preserve">As evaluated in [4], the capability of </w:t>
      </w:r>
      <w:r w:rsidRPr="00011DDF">
        <w:rPr>
          <w:i/>
          <w:iCs/>
        </w:rPr>
        <w:t>powerBoostPi2BPSK</w:t>
      </w:r>
      <w:r w:rsidRPr="00011DDF">
        <w:t xml:space="preserve"> </w:t>
      </w:r>
      <w:r>
        <w:t xml:space="preserve">relies on whether FDSS is adopted for both data and DMRS. Based on the PAPR results in Figure 1, we see that the PA operation point is limited by the DMRS even with FDSS. However, the power boost defined in Rel-15 violates the observations of MPR simulation results for ZC-based DMRS [4][5]. That’s the reason we proposed to revisit the Rel-15 MPR results for Pi/2 BPSK power boost firstly then to consider the possible MPR improvement due to lower PAPR DMRS with FDSS in Rel-16. Since the group already decided that the study is focused on </w:t>
      </w:r>
      <w:r w:rsidRPr="00011DDF">
        <w:rPr>
          <w:i/>
          <w:iCs/>
        </w:rPr>
        <w:t>powerBoostPi2BPSK</w:t>
      </w:r>
      <w:r w:rsidRPr="00011DDF">
        <w:t xml:space="preserve"> set to 0</w:t>
      </w:r>
      <w:r>
        <w:t>, we have to live with what we have in the spec so far.</w:t>
      </w:r>
    </w:p>
    <w:p w:rsidR="00AC05FA" w:rsidRPr="00083426" w:rsidRDefault="00AC05FA" w:rsidP="00AC05FA">
      <w:pPr>
        <w:spacing w:before="120"/>
        <w:rPr>
          <w:b/>
          <w:i/>
        </w:rPr>
      </w:pPr>
      <w:r w:rsidRPr="00083426">
        <w:rPr>
          <w:b/>
          <w:i/>
        </w:rPr>
        <w:t xml:space="preserve">Observation </w:t>
      </w:r>
      <w:r w:rsidR="00B6186B">
        <w:rPr>
          <w:b/>
          <w:i/>
        </w:rPr>
        <w:t>3</w:t>
      </w:r>
      <w:r w:rsidRPr="00083426">
        <w:rPr>
          <w:b/>
          <w:i/>
        </w:rPr>
        <w:t xml:space="preserve">: The benefit of lower PAPR was already </w:t>
      </w:r>
      <w:r>
        <w:rPr>
          <w:b/>
          <w:i/>
        </w:rPr>
        <w:t>reflected by</w:t>
      </w:r>
      <w:r w:rsidRPr="00083426">
        <w:rPr>
          <w:b/>
          <w:i/>
        </w:rPr>
        <w:t xml:space="preserve"> power boost</w:t>
      </w:r>
      <w:r>
        <w:rPr>
          <w:b/>
          <w:i/>
        </w:rPr>
        <w:t xml:space="preserve"> functionality for Pi/2 BPSK defined in Rel-15.</w:t>
      </w:r>
    </w:p>
    <w:p w:rsidR="00AC05FA" w:rsidRDefault="00AC05FA" w:rsidP="00AC05FA">
      <w:pPr>
        <w:spacing w:before="120"/>
      </w:pPr>
      <w:r>
        <w:t xml:space="preserve">On the other hand, since Pi/2 BPSK itself is not a mandatory feature for FR1, it’s not possible to assume that FDSS is mandatorily supported for Pi/2 BPSK, especially that in Rel-15 we already distinguished the implementation via </w:t>
      </w:r>
      <w:r w:rsidRPr="00011DDF">
        <w:rPr>
          <w:i/>
          <w:iCs/>
        </w:rPr>
        <w:t>powerBoostPi2BPSK</w:t>
      </w:r>
      <w:r>
        <w:rPr>
          <w:i/>
          <w:iCs/>
        </w:rPr>
        <w:t xml:space="preserve"> </w:t>
      </w:r>
      <w:r w:rsidRPr="00BE009F">
        <w:rPr>
          <w:iCs/>
        </w:rPr>
        <w:t>capability</w:t>
      </w:r>
      <w:r>
        <w:rPr>
          <w:i/>
          <w:iCs/>
        </w:rPr>
        <w:t xml:space="preserve"> </w:t>
      </w:r>
      <w:r>
        <w:rPr>
          <w:iCs/>
        </w:rPr>
        <w:t xml:space="preserve">indication. Furthermore, the EVM </w:t>
      </w:r>
      <w:r w:rsidRPr="001C0CC4">
        <w:t>equalizer spectrum flatness</w:t>
      </w:r>
      <w:r>
        <w:t xml:space="preserve"> requirements are different for UE indicates </w:t>
      </w:r>
      <w:r w:rsidRPr="00011DDF">
        <w:rPr>
          <w:i/>
          <w:iCs/>
        </w:rPr>
        <w:t>powerBoostPi2BPSK</w:t>
      </w:r>
      <w:r>
        <w:rPr>
          <w:i/>
          <w:iCs/>
        </w:rPr>
        <w:t xml:space="preserve"> </w:t>
      </w:r>
      <w:r>
        <w:rPr>
          <w:iCs/>
        </w:rPr>
        <w:t xml:space="preserve">capabilities. Due to the FDSS implementation, it is expected that the </w:t>
      </w:r>
      <w:r w:rsidRPr="001C0CC4">
        <w:t>spectrum flatness</w:t>
      </w:r>
      <w:r>
        <w:t xml:space="preserve"> will be affected, thus the requirement is relaxed accordingly in exchange of lower PAPR, but nothing is got freely, the fluctuation of spectrum somehow would impact on the real scenario performance.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C05FA" w:rsidRPr="005F48B1" w:rsidTr="003A0449">
        <w:tc>
          <w:tcPr>
            <w:tcW w:w="9857" w:type="dxa"/>
            <w:shd w:val="clear" w:color="auto" w:fill="auto"/>
          </w:tcPr>
          <w:p w:rsidR="00AC05FA" w:rsidRPr="001C0CC4" w:rsidRDefault="00AC05FA" w:rsidP="003A0449">
            <w:r w:rsidRPr="005F48B1">
              <w:rPr>
                <w:highlight w:val="yellow"/>
              </w:rPr>
              <w:t xml:space="preserve">These requirements apply if the IE </w:t>
            </w:r>
            <w:r w:rsidRPr="005F48B1">
              <w:rPr>
                <w:i/>
                <w:highlight w:val="yellow"/>
                <w:lang w:val="en-US"/>
              </w:rPr>
              <w:t>powerBoostPi2BPSK</w:t>
            </w:r>
            <w:r w:rsidRPr="005F48B1" w:rsidDel="007C4ED7">
              <w:rPr>
                <w:highlight w:val="yellow"/>
              </w:rPr>
              <w:t xml:space="preserve"> </w:t>
            </w:r>
            <w:r w:rsidRPr="005F48B1">
              <w:rPr>
                <w:highlight w:val="yellow"/>
              </w:rPr>
              <w:t>is set to 1</w:t>
            </w:r>
            <w:r w:rsidRPr="001C0CC4">
              <w:t xml:space="preserve"> for power class 3 capable UE operating in TDD bands n40, n41, n77, n78 and n79 with Pi/2 BPSK modulation and UE indicates support for UE capability </w:t>
            </w:r>
            <w:r w:rsidRPr="005F48B1">
              <w:rPr>
                <w:i/>
                <w:lang w:val="en-US"/>
              </w:rPr>
              <w:t>powerBoosting-pi2BPSK</w:t>
            </w:r>
            <w:r w:rsidRPr="005F48B1" w:rsidDel="00B4601F">
              <w:rPr>
                <w:i/>
              </w:rPr>
              <w:t xml:space="preserve"> </w:t>
            </w:r>
            <w:r w:rsidRPr="001C0CC4">
              <w:t>and 40 % or less slots in radio frame are used for UL transmission. Otherwise the requirements for EVM equalizer spectrum flatness defined in clause 6.4.2.4 apply.</w:t>
            </w:r>
          </w:p>
          <w:p w:rsidR="00AC05FA" w:rsidRPr="001C0CC4" w:rsidRDefault="00AC05FA" w:rsidP="003A0449">
            <w:r w:rsidRPr="001C0CC4">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p>
          <w:p w:rsidR="00AC05FA" w:rsidRPr="001C0CC4" w:rsidRDefault="00AC05FA" w:rsidP="003A0449">
            <w:pPr>
              <w:pStyle w:val="TH"/>
            </w:pPr>
            <w:r w:rsidRPr="001C0CC4">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3"/>
              <w:gridCol w:w="1123"/>
              <w:gridCol w:w="2385"/>
            </w:tblGrid>
            <w:tr w:rsidR="00AC05FA" w:rsidRPr="001C0CC4" w:rsidTr="003A0449">
              <w:trPr>
                <w:jc w:val="center"/>
              </w:trPr>
              <w:tc>
                <w:tcPr>
                  <w:tcW w:w="5123" w:type="dxa"/>
                </w:tcPr>
                <w:p w:rsidR="00AC05FA" w:rsidRPr="001C0CC4" w:rsidRDefault="00AC05FA" w:rsidP="003A0449">
                  <w:pPr>
                    <w:pStyle w:val="TAH"/>
                  </w:pPr>
                  <w:r w:rsidRPr="001C0CC4">
                    <w:t>Frequency range</w:t>
                  </w:r>
                </w:p>
              </w:tc>
              <w:tc>
                <w:tcPr>
                  <w:tcW w:w="1123" w:type="dxa"/>
                </w:tcPr>
                <w:p w:rsidR="00AC05FA" w:rsidRPr="001C0CC4" w:rsidRDefault="00AC05FA" w:rsidP="003A0449">
                  <w:pPr>
                    <w:pStyle w:val="TAH"/>
                  </w:pPr>
                  <w:r w:rsidRPr="001C0CC4">
                    <w:t xml:space="preserve">Parameter </w:t>
                  </w:r>
                </w:p>
              </w:tc>
              <w:tc>
                <w:tcPr>
                  <w:tcW w:w="2385" w:type="dxa"/>
                </w:tcPr>
                <w:p w:rsidR="00AC05FA" w:rsidRPr="001C0CC4" w:rsidRDefault="00AC05FA" w:rsidP="003A0449">
                  <w:pPr>
                    <w:pStyle w:val="TAH"/>
                  </w:pPr>
                  <w:r w:rsidRPr="001C0CC4">
                    <w:t>Maximum ripple (dB)</w:t>
                  </w:r>
                </w:p>
              </w:tc>
            </w:tr>
            <w:tr w:rsidR="00AC05FA" w:rsidRPr="001C0CC4" w:rsidTr="003A0449">
              <w:trPr>
                <w:trHeight w:val="150"/>
                <w:jc w:val="center"/>
              </w:trPr>
              <w:tc>
                <w:tcPr>
                  <w:tcW w:w="5123" w:type="dxa"/>
                </w:tcPr>
                <w:p w:rsidR="00AC05FA" w:rsidRPr="001C0CC4" w:rsidRDefault="00AC05FA" w:rsidP="003A0449">
                  <w:pPr>
                    <w:pStyle w:val="TAC"/>
                  </w:pPr>
                  <w:r w:rsidRPr="001C0CC4">
                    <w:t>|F</w:t>
                  </w:r>
                  <w:r w:rsidRPr="001C0CC4">
                    <w:rPr>
                      <w:vertAlign w:val="subscript"/>
                    </w:rPr>
                    <w:t>UL_Meas</w:t>
                  </w:r>
                  <w:r w:rsidRPr="001C0CC4">
                    <w:t xml:space="preserve"> – F</w:t>
                  </w:r>
                  <w:r w:rsidRPr="001C0CC4">
                    <w:rPr>
                      <w:vertAlign w:val="subscript"/>
                    </w:rPr>
                    <w:t>center</w:t>
                  </w:r>
                  <w:r w:rsidRPr="001C0CC4">
                    <w:t>| ≤ X MHz</w:t>
                  </w:r>
                </w:p>
                <w:p w:rsidR="00AC05FA" w:rsidRPr="001C0CC4" w:rsidRDefault="00AC05FA" w:rsidP="003A0449">
                  <w:pPr>
                    <w:pStyle w:val="TAC"/>
                  </w:pPr>
                  <w:r w:rsidRPr="001C0CC4">
                    <w:t>(Range 1)</w:t>
                  </w:r>
                </w:p>
              </w:tc>
              <w:tc>
                <w:tcPr>
                  <w:tcW w:w="1123" w:type="dxa"/>
                  <w:vAlign w:val="center"/>
                </w:tcPr>
                <w:p w:rsidR="00AC05FA" w:rsidRPr="001C0CC4" w:rsidRDefault="00AC05FA" w:rsidP="003A0449">
                  <w:pPr>
                    <w:pStyle w:val="TAC"/>
                  </w:pPr>
                  <w:r w:rsidRPr="001C0CC4">
                    <w:t>X1</w:t>
                  </w:r>
                </w:p>
              </w:tc>
              <w:tc>
                <w:tcPr>
                  <w:tcW w:w="2385" w:type="dxa"/>
                  <w:vAlign w:val="center"/>
                </w:tcPr>
                <w:p w:rsidR="00AC05FA" w:rsidRPr="001C0CC4" w:rsidRDefault="00AC05FA" w:rsidP="003A0449">
                  <w:pPr>
                    <w:pStyle w:val="TAC"/>
                  </w:pPr>
                  <w:r w:rsidRPr="001C0CC4">
                    <w:t>6 (p-p)</w:t>
                  </w:r>
                </w:p>
              </w:tc>
            </w:tr>
            <w:tr w:rsidR="00AC05FA" w:rsidRPr="001C0CC4" w:rsidTr="003A0449">
              <w:trPr>
                <w:trHeight w:val="150"/>
                <w:jc w:val="center"/>
              </w:trPr>
              <w:tc>
                <w:tcPr>
                  <w:tcW w:w="5123" w:type="dxa"/>
                </w:tcPr>
                <w:p w:rsidR="00AC05FA" w:rsidRPr="001C0CC4" w:rsidRDefault="00AC05FA" w:rsidP="003A0449">
                  <w:pPr>
                    <w:pStyle w:val="TAC"/>
                  </w:pPr>
                  <w:r w:rsidRPr="001C0CC4">
                    <w:t>|F</w:t>
                  </w:r>
                  <w:r w:rsidRPr="001C0CC4">
                    <w:rPr>
                      <w:vertAlign w:val="subscript"/>
                    </w:rPr>
                    <w:t>UL_Meas</w:t>
                  </w:r>
                  <w:r w:rsidRPr="001C0CC4">
                    <w:t xml:space="preserve"> – F</w:t>
                  </w:r>
                  <w:r w:rsidRPr="001C0CC4">
                    <w:rPr>
                      <w:vertAlign w:val="subscript"/>
                    </w:rPr>
                    <w:t>center</w:t>
                  </w:r>
                  <w:r w:rsidRPr="001C0CC4">
                    <w:t>| &gt; X MHz</w:t>
                  </w:r>
                </w:p>
                <w:p w:rsidR="00AC05FA" w:rsidRPr="001C0CC4" w:rsidRDefault="00AC05FA" w:rsidP="003A0449">
                  <w:pPr>
                    <w:pStyle w:val="TAC"/>
                  </w:pPr>
                  <w:r w:rsidRPr="001C0CC4">
                    <w:t>(Range 2)</w:t>
                  </w:r>
                </w:p>
              </w:tc>
              <w:tc>
                <w:tcPr>
                  <w:tcW w:w="1123" w:type="dxa"/>
                  <w:vAlign w:val="center"/>
                </w:tcPr>
                <w:p w:rsidR="00AC05FA" w:rsidRPr="001C0CC4" w:rsidRDefault="00AC05FA" w:rsidP="003A0449">
                  <w:pPr>
                    <w:pStyle w:val="TAC"/>
                  </w:pPr>
                  <w:r w:rsidRPr="001C0CC4">
                    <w:t>X2</w:t>
                  </w:r>
                </w:p>
              </w:tc>
              <w:tc>
                <w:tcPr>
                  <w:tcW w:w="2385" w:type="dxa"/>
                  <w:vAlign w:val="center"/>
                </w:tcPr>
                <w:p w:rsidR="00AC05FA" w:rsidRPr="001C0CC4" w:rsidRDefault="00AC05FA" w:rsidP="003A0449">
                  <w:pPr>
                    <w:pStyle w:val="TAC"/>
                  </w:pPr>
                  <w:r w:rsidRPr="001C0CC4">
                    <w:t>14 (p-p)</w:t>
                  </w:r>
                </w:p>
              </w:tc>
            </w:tr>
            <w:tr w:rsidR="00AC05FA" w:rsidRPr="001C0CC4" w:rsidTr="003A0449">
              <w:trPr>
                <w:trHeight w:val="150"/>
                <w:jc w:val="center"/>
              </w:trPr>
              <w:tc>
                <w:tcPr>
                  <w:tcW w:w="8631" w:type="dxa"/>
                  <w:gridSpan w:val="3"/>
                </w:tcPr>
                <w:p w:rsidR="00AC05FA" w:rsidRPr="001C0CC4" w:rsidRDefault="00AC05FA" w:rsidP="003A0449">
                  <w:pPr>
                    <w:pStyle w:val="TAN"/>
                  </w:pPr>
                  <w:r w:rsidRPr="001C0CC4">
                    <w:t>NOTE 1:</w:t>
                  </w:r>
                  <w:r w:rsidRPr="001C0CC4">
                    <w:tab/>
                    <w:t>F</w:t>
                  </w:r>
                  <w:r w:rsidRPr="001C0CC4">
                    <w:rPr>
                      <w:vertAlign w:val="subscript"/>
                    </w:rPr>
                    <w:t>UL_Meas</w:t>
                  </w:r>
                  <w:r w:rsidRPr="001C0CC4">
                    <w:t xml:space="preserve"> refers to the sub-carrier frequency for which the equalizer coefficient is evaluated</w:t>
                  </w:r>
                </w:p>
                <w:p w:rsidR="00AC05FA" w:rsidRPr="001C0CC4" w:rsidRDefault="00AC05FA" w:rsidP="003A0449">
                  <w:pPr>
                    <w:pStyle w:val="TAN"/>
                  </w:pPr>
                  <w:r w:rsidRPr="001C0CC4">
                    <w:t>NOTE 2:</w:t>
                  </w:r>
                  <w:r w:rsidRPr="001C0CC4">
                    <w:tab/>
                    <w:t>F</w:t>
                  </w:r>
                  <w:r w:rsidRPr="001C0CC4">
                    <w:rPr>
                      <w:vertAlign w:val="subscript"/>
                    </w:rPr>
                    <w:t>center</w:t>
                  </w:r>
                  <w:r w:rsidRPr="001C0CC4">
                    <w:t xml:space="preserve"> refers to the center frequency of an allocated block of PRBs</w:t>
                  </w:r>
                </w:p>
                <w:p w:rsidR="00AC05FA" w:rsidRPr="001C0CC4" w:rsidRDefault="00AC05FA" w:rsidP="003A0449">
                  <w:pPr>
                    <w:pStyle w:val="TAN"/>
                  </w:pPr>
                  <w:r w:rsidRPr="001C0CC4">
                    <w:t>NOTE 3:</w:t>
                  </w:r>
                  <w:r w:rsidRPr="001C0CC4">
                    <w:tab/>
                    <w:t>X, in MHz, is equal to 25% of the bandwidth of the PRB allocation</w:t>
                  </w:r>
                </w:p>
                <w:p w:rsidR="00AC05FA" w:rsidRPr="001C0CC4" w:rsidRDefault="00AC05FA" w:rsidP="003A0449">
                  <w:pPr>
                    <w:pStyle w:val="TAN"/>
                  </w:pPr>
                  <w:r w:rsidRPr="001C0CC4">
                    <w:t>NOTE 4:</w:t>
                  </w:r>
                  <w:r w:rsidRPr="001C0CC4">
                    <w:tab/>
                    <w:t>See Figure 6.4.2.4.1-1 for description of X1, X2</w:t>
                  </w:r>
                </w:p>
              </w:tc>
            </w:tr>
          </w:tbl>
          <w:p w:rsidR="00AC05FA" w:rsidRPr="00A02FF0" w:rsidRDefault="00AC05FA" w:rsidP="003A0449">
            <w:pPr>
              <w:spacing w:before="120"/>
            </w:pPr>
          </w:p>
        </w:tc>
      </w:tr>
    </w:tbl>
    <w:p w:rsidR="00AC05FA" w:rsidRDefault="00AC05FA" w:rsidP="00AC05FA">
      <w:pPr>
        <w:spacing w:before="120"/>
        <w:rPr>
          <w:lang w:val="en-US"/>
        </w:rPr>
      </w:pPr>
      <w:r w:rsidRPr="0075700C">
        <w:rPr>
          <w:b/>
          <w:i/>
          <w:lang w:val="en-US"/>
        </w:rPr>
        <w:t>Observation</w:t>
      </w:r>
      <w:r>
        <w:rPr>
          <w:b/>
          <w:i/>
          <w:lang w:val="en-US"/>
        </w:rPr>
        <w:t xml:space="preserve"> </w:t>
      </w:r>
      <w:r w:rsidR="00B6186B">
        <w:rPr>
          <w:b/>
          <w:i/>
          <w:lang w:val="en-US"/>
        </w:rPr>
        <w:t>4</w:t>
      </w:r>
      <w:r w:rsidRPr="0075700C">
        <w:rPr>
          <w:b/>
          <w:i/>
          <w:lang w:val="en-US"/>
        </w:rPr>
        <w:t>:</w:t>
      </w:r>
      <w:r>
        <w:rPr>
          <w:b/>
          <w:i/>
          <w:lang w:val="en-US"/>
        </w:rPr>
        <w:t xml:space="preserve"> For </w:t>
      </w:r>
      <w:r w:rsidRPr="00083426">
        <w:rPr>
          <w:b/>
          <w:i/>
          <w:lang w:val="en-US"/>
        </w:rPr>
        <w:t xml:space="preserve">IE powerBoostPi2BPSK is set to </w:t>
      </w:r>
      <w:r>
        <w:rPr>
          <w:b/>
          <w:i/>
          <w:lang w:val="en-US"/>
        </w:rPr>
        <w:t xml:space="preserve">0, the EVM </w:t>
      </w:r>
      <w:r w:rsidRPr="00083426">
        <w:rPr>
          <w:b/>
          <w:i/>
          <w:lang w:val="en-US"/>
        </w:rPr>
        <w:t>equalizer spectrum flatness</w:t>
      </w:r>
      <w:r>
        <w:rPr>
          <w:b/>
          <w:i/>
          <w:lang w:val="en-US"/>
        </w:rPr>
        <w:t xml:space="preserve"> requirement is not relaxed to accommodate the FDSS implementation for both data and DMRS sequence. </w:t>
      </w:r>
    </w:p>
    <w:p w:rsidR="00AC05FA" w:rsidRDefault="00AC05FA" w:rsidP="00AC05FA">
      <w:pPr>
        <w:spacing w:before="120"/>
        <w:rPr>
          <w:lang w:val="en-US"/>
        </w:rPr>
      </w:pPr>
      <w:r>
        <w:rPr>
          <w:lang w:val="en-US"/>
        </w:rPr>
        <w:t xml:space="preserve">In sum, we think that the Pi/2 BPSK DMRS sequence can reduce the PAPR compared to ZC-based DMRS with FDSS, however, the MPR improvement was already over-utilized in Rel-15 by power boosting. For </w:t>
      </w:r>
      <w:r w:rsidRPr="004C080B">
        <w:t xml:space="preserve">the IE </w:t>
      </w:r>
      <w:r w:rsidRPr="004C080B">
        <w:rPr>
          <w:i/>
          <w:lang w:val="en-US"/>
        </w:rPr>
        <w:t>powerBoostPi2BPSK</w:t>
      </w:r>
      <w:r w:rsidRPr="004C080B" w:rsidDel="007C4ED7">
        <w:t xml:space="preserve"> </w:t>
      </w:r>
      <w:r w:rsidRPr="004C080B">
        <w:t xml:space="preserve">is set to </w:t>
      </w:r>
      <w:r>
        <w:t xml:space="preserve">0, FDSS is not mandatory to be utilized and the requirements should be applicable for both pulse-shaping and non-pulse-shaping implementations. It is worth noting that if FDSS is adopted by UE implementation when </w:t>
      </w:r>
      <w:r w:rsidRPr="004C080B">
        <w:t xml:space="preserve">IE </w:t>
      </w:r>
      <w:r w:rsidRPr="004C080B">
        <w:rPr>
          <w:i/>
          <w:lang w:val="en-US"/>
        </w:rPr>
        <w:t>powerBoostPi2BPSK</w:t>
      </w:r>
      <w:r w:rsidRPr="004C080B" w:rsidDel="007C4ED7">
        <w:t xml:space="preserve"> </w:t>
      </w:r>
      <w:r w:rsidRPr="004C080B">
        <w:t xml:space="preserve">is set to </w:t>
      </w:r>
      <w:r>
        <w:t xml:space="preserve">0, it means that the UE has to meet </w:t>
      </w:r>
      <w:r w:rsidRPr="004C080B">
        <w:t>EVM equalizer spectrum flatness requirement</w:t>
      </w:r>
      <w:r>
        <w:t xml:space="preserve"> supposed for non-pulse shaping implementation. </w:t>
      </w:r>
    </w:p>
    <w:p w:rsidR="00AC05FA" w:rsidRDefault="00AC05FA" w:rsidP="00AC05FA">
      <w:pPr>
        <w:spacing w:before="120"/>
        <w:rPr>
          <w:lang w:val="en-US"/>
        </w:rPr>
      </w:pPr>
      <w:r>
        <w:rPr>
          <w:lang w:val="en-US"/>
        </w:rPr>
        <w:t xml:space="preserve">Going back to the objective of the WI, it just tasked RAN4 to </w:t>
      </w:r>
    </w:p>
    <w:p w:rsidR="00AC05FA" w:rsidRPr="000C3216" w:rsidRDefault="00AC05FA" w:rsidP="00AC05FA">
      <w:pPr>
        <w:numPr>
          <w:ilvl w:val="1"/>
          <w:numId w:val="43"/>
        </w:numPr>
        <w:snapToGrid w:val="0"/>
        <w:spacing w:after="120"/>
        <w:ind w:right="-99"/>
        <w:textAlignment w:val="auto"/>
        <w:rPr>
          <w:i/>
          <w:lang w:eastAsia="ko-KR"/>
        </w:rPr>
      </w:pPr>
      <w:r w:rsidRPr="000C3216">
        <w:rPr>
          <w:rFonts w:eastAsia="Malgun Gothic"/>
          <w:i/>
          <w:lang w:eastAsia="ko-KR"/>
        </w:rPr>
        <w:t xml:space="preserve">Identify impact on RF requirements for the reduced PAPR pi/2-BPSK DMRS for FR1 and, if needed, specify RF requirements </w:t>
      </w:r>
    </w:p>
    <w:p w:rsidR="00AC05FA" w:rsidRPr="00FC0233" w:rsidRDefault="00AC05FA" w:rsidP="00AC05FA">
      <w:pPr>
        <w:spacing w:before="120"/>
      </w:pPr>
      <w:r>
        <w:t xml:space="preserve">Which is not saying that RAN4 has to define the new requirements for </w:t>
      </w:r>
      <w:r w:rsidRPr="008009C1">
        <w:t>pi/2-BPSK DMRS</w:t>
      </w:r>
      <w:r>
        <w:t xml:space="preserve">. Given the current observations, we think the impact on RF requirements is minimum if we don't want to touch the Rel-15 requirements. For </w:t>
      </w:r>
      <w:r w:rsidRPr="004C080B">
        <w:t xml:space="preserve">IE </w:t>
      </w:r>
      <w:r w:rsidRPr="004C080B">
        <w:rPr>
          <w:i/>
          <w:lang w:val="en-US"/>
        </w:rPr>
        <w:t>powerBoostPi2BPSK</w:t>
      </w:r>
      <w:r w:rsidRPr="004C080B" w:rsidDel="007C4ED7">
        <w:t xml:space="preserve"> </w:t>
      </w:r>
      <w:r w:rsidRPr="004C080B">
        <w:t xml:space="preserve">is set to </w:t>
      </w:r>
      <w:r>
        <w:t xml:space="preserve">0, no requirements impact is identified for Pi/2 BPSK based DMRS in Rel-16. </w:t>
      </w:r>
    </w:p>
    <w:p w:rsidR="00AC05FA" w:rsidRDefault="00AC05FA" w:rsidP="00AC05FA">
      <w:pPr>
        <w:spacing w:before="120"/>
        <w:rPr>
          <w:lang w:val="en-US"/>
        </w:rPr>
      </w:pPr>
      <w:r>
        <w:rPr>
          <w:b/>
          <w:i/>
        </w:rPr>
        <w:t xml:space="preserve">Observation </w:t>
      </w:r>
      <w:r w:rsidR="002309BA">
        <w:rPr>
          <w:b/>
          <w:i/>
        </w:rPr>
        <w:t>5</w:t>
      </w:r>
      <w:r>
        <w:rPr>
          <w:b/>
          <w:i/>
        </w:rPr>
        <w:t>: For IE powerBoostPi2BPSK setting</w:t>
      </w:r>
      <w:r w:rsidRPr="002C736F">
        <w:rPr>
          <w:b/>
          <w:i/>
        </w:rPr>
        <w:t xml:space="preserve"> to 0, no requirements impact is identified for Pi/2 BPSK based DMRS in Rel-16.</w:t>
      </w:r>
      <w:r>
        <w:rPr>
          <w:b/>
          <w:i/>
        </w:rPr>
        <w:t xml:space="preserve">  </w:t>
      </w:r>
      <w:r>
        <w:rPr>
          <w:lang w:val="en-US"/>
        </w:rPr>
        <w:t xml:space="preserve"> </w:t>
      </w:r>
    </w:p>
    <w:p w:rsidR="00AC05FA" w:rsidRPr="002C736F" w:rsidRDefault="00AC05FA" w:rsidP="00AC05FA">
      <w:pPr>
        <w:spacing w:before="120"/>
      </w:pPr>
      <w:r>
        <w:lastRenderedPageBreak/>
        <w:t xml:space="preserve">For some UE with </w:t>
      </w:r>
      <w:r w:rsidRPr="004C080B">
        <w:t xml:space="preserve">IE </w:t>
      </w:r>
      <w:r w:rsidRPr="004C080B">
        <w:rPr>
          <w:i/>
          <w:lang w:val="en-US"/>
        </w:rPr>
        <w:t>powerBoostPi2BPSK</w:t>
      </w:r>
      <w:r w:rsidRPr="004C080B">
        <w:t xml:space="preserve"> set to </w:t>
      </w:r>
      <w:r>
        <w:t xml:space="preserve">0 and FDSS is adopted, if these kind of UE can fulfil the </w:t>
      </w:r>
      <w:r w:rsidRPr="00A82CC8">
        <w:t>EVM equalizer spectrum flatness requirement</w:t>
      </w:r>
      <w:r>
        <w:t xml:space="preserve"> supposed for non-pulse shaping implementation, MPR improvement can be considered as UE optimization as MPR is the specified maximum power backoff, which does not mean all UE should use the maximum value in real scenario.</w:t>
      </w:r>
    </w:p>
    <w:p w:rsidR="006C4547" w:rsidRDefault="007F1991" w:rsidP="006C4547">
      <w:pPr>
        <w:spacing w:before="120"/>
        <w:rPr>
          <w:lang w:val="en-US"/>
        </w:rPr>
      </w:pPr>
      <w:r>
        <w:rPr>
          <w:lang w:val="en-US"/>
        </w:rPr>
        <w:t xml:space="preserve">Based on the observations above, we don’t think that new requirements should be specified in Rel-16 according to the evaluation so far in RAN4. Enhancement for case of </w:t>
      </w:r>
      <w:r w:rsidRPr="004C080B">
        <w:t xml:space="preserve">IE </w:t>
      </w:r>
      <w:r w:rsidRPr="004C080B">
        <w:rPr>
          <w:i/>
          <w:lang w:val="en-US"/>
        </w:rPr>
        <w:t>powerBoostPi2BPSK</w:t>
      </w:r>
      <w:r w:rsidRPr="004C080B">
        <w:t xml:space="preserve"> set</w:t>
      </w:r>
      <w:r>
        <w:t>ting</w:t>
      </w:r>
      <w:r w:rsidRPr="004C080B">
        <w:t xml:space="preserve"> to </w:t>
      </w:r>
      <w:r>
        <w:t>1 could be further studied in future release.</w:t>
      </w:r>
    </w:p>
    <w:p w:rsidR="00A33E8E" w:rsidRDefault="00A33E8E" w:rsidP="00A33E8E">
      <w:pPr>
        <w:pStyle w:val="Heading1"/>
        <w:spacing w:after="240"/>
        <w:rPr>
          <w:rFonts w:eastAsia="宋体" w:hint="eastAsia"/>
          <w:lang w:eastAsia="zh-CN"/>
        </w:rPr>
      </w:pPr>
      <w:r>
        <w:rPr>
          <w:rFonts w:eastAsia="宋体" w:hint="eastAsia"/>
          <w:lang w:eastAsia="zh-CN"/>
        </w:rPr>
        <w:t>Conclusion</w:t>
      </w:r>
    </w:p>
    <w:p w:rsidR="007F1991" w:rsidRDefault="007F1991" w:rsidP="007F1991">
      <w:pPr>
        <w:rPr>
          <w:lang w:val="en-US"/>
        </w:rPr>
      </w:pPr>
      <w:r>
        <w:rPr>
          <w:lang w:val="en-US"/>
        </w:rPr>
        <w:t>To conclude the objective of DMRS for eMIMO WI, our observations and proposal are provided as following.</w:t>
      </w:r>
    </w:p>
    <w:p w:rsidR="007F1991" w:rsidRPr="00AC05FA" w:rsidRDefault="007F1991" w:rsidP="007F1991">
      <w:pPr>
        <w:spacing w:before="120" w:after="0" w:line="298" w:lineRule="auto"/>
        <w:rPr>
          <w:b/>
          <w:i/>
          <w:lang w:val="en-US"/>
        </w:rPr>
      </w:pPr>
      <w:r w:rsidRPr="007F1991">
        <w:rPr>
          <w:b/>
          <w:i/>
          <w:lang w:val="en-US"/>
        </w:rPr>
        <w:t xml:space="preserve">Observation 1: No assumption that FDSS is utilized when the IE powerBoostPi2BPSK is set to 0. </w:t>
      </w:r>
    </w:p>
    <w:p w:rsidR="007F1991" w:rsidRDefault="007F1991" w:rsidP="007F1991">
      <w:pPr>
        <w:spacing w:before="120" w:after="0" w:line="298" w:lineRule="auto"/>
        <w:rPr>
          <w:b/>
          <w:i/>
          <w:lang w:val="en-US"/>
        </w:rPr>
      </w:pPr>
      <w:r w:rsidRPr="0075700C">
        <w:rPr>
          <w:b/>
          <w:i/>
          <w:lang w:val="en-US"/>
        </w:rPr>
        <w:t>Observation</w:t>
      </w:r>
      <w:r>
        <w:rPr>
          <w:b/>
          <w:i/>
          <w:lang w:val="en-US"/>
        </w:rPr>
        <w:t xml:space="preserve"> 2</w:t>
      </w:r>
      <w:r w:rsidRPr="0075700C">
        <w:rPr>
          <w:b/>
          <w:i/>
          <w:lang w:val="en-US"/>
        </w:rPr>
        <w:t>: PAPR improvement for DMRS sequence only occurs with condition that FDSS is utilized</w:t>
      </w:r>
    </w:p>
    <w:p w:rsidR="007F1991" w:rsidRPr="00083426" w:rsidRDefault="007F1991" w:rsidP="007F1991">
      <w:pPr>
        <w:spacing w:before="120" w:after="0" w:line="298" w:lineRule="auto"/>
        <w:rPr>
          <w:b/>
          <w:i/>
        </w:rPr>
      </w:pPr>
      <w:r w:rsidRPr="00083426">
        <w:rPr>
          <w:b/>
          <w:i/>
        </w:rPr>
        <w:t xml:space="preserve">Observation </w:t>
      </w:r>
      <w:r>
        <w:rPr>
          <w:b/>
          <w:i/>
        </w:rPr>
        <w:t>3</w:t>
      </w:r>
      <w:r w:rsidRPr="00083426">
        <w:rPr>
          <w:b/>
          <w:i/>
        </w:rPr>
        <w:t xml:space="preserve">: The benefit of lower PAPR was already </w:t>
      </w:r>
      <w:r>
        <w:rPr>
          <w:b/>
          <w:i/>
        </w:rPr>
        <w:t>reflected by</w:t>
      </w:r>
      <w:r w:rsidRPr="00083426">
        <w:rPr>
          <w:b/>
          <w:i/>
        </w:rPr>
        <w:t xml:space="preserve"> power boost</w:t>
      </w:r>
      <w:r>
        <w:rPr>
          <w:b/>
          <w:i/>
        </w:rPr>
        <w:t xml:space="preserve"> functionality for Pi/2 BPSK defined in Rel-15.</w:t>
      </w:r>
    </w:p>
    <w:p w:rsidR="007F1991" w:rsidRDefault="007F1991" w:rsidP="007F1991">
      <w:pPr>
        <w:spacing w:before="120" w:after="0" w:line="298" w:lineRule="auto"/>
        <w:rPr>
          <w:lang w:val="en-US"/>
        </w:rPr>
      </w:pPr>
      <w:r w:rsidRPr="0075700C">
        <w:rPr>
          <w:b/>
          <w:i/>
          <w:lang w:val="en-US"/>
        </w:rPr>
        <w:t>Observation</w:t>
      </w:r>
      <w:r>
        <w:rPr>
          <w:b/>
          <w:i/>
          <w:lang w:val="en-US"/>
        </w:rPr>
        <w:t xml:space="preserve"> 4</w:t>
      </w:r>
      <w:r w:rsidRPr="0075700C">
        <w:rPr>
          <w:b/>
          <w:i/>
          <w:lang w:val="en-US"/>
        </w:rPr>
        <w:t>:</w:t>
      </w:r>
      <w:r>
        <w:rPr>
          <w:b/>
          <w:i/>
          <w:lang w:val="en-US"/>
        </w:rPr>
        <w:t xml:space="preserve"> For </w:t>
      </w:r>
      <w:r w:rsidRPr="00083426">
        <w:rPr>
          <w:b/>
          <w:i/>
          <w:lang w:val="en-US"/>
        </w:rPr>
        <w:t xml:space="preserve">IE powerBoostPi2BPSK is set to </w:t>
      </w:r>
      <w:r>
        <w:rPr>
          <w:b/>
          <w:i/>
          <w:lang w:val="en-US"/>
        </w:rPr>
        <w:t xml:space="preserve">0, the EVM </w:t>
      </w:r>
      <w:r w:rsidRPr="00083426">
        <w:rPr>
          <w:b/>
          <w:i/>
          <w:lang w:val="en-US"/>
        </w:rPr>
        <w:t>equalizer spectrum flatness</w:t>
      </w:r>
      <w:r>
        <w:rPr>
          <w:b/>
          <w:i/>
          <w:lang w:val="en-US"/>
        </w:rPr>
        <w:t xml:space="preserve"> requirement is not relaxed to accommodate the FDSS implementation for both data and DMRS sequence. </w:t>
      </w:r>
    </w:p>
    <w:p w:rsidR="007F1991" w:rsidRDefault="007F1991" w:rsidP="007F1991">
      <w:pPr>
        <w:spacing w:before="120" w:after="0" w:line="298" w:lineRule="auto"/>
        <w:rPr>
          <w:lang w:val="en-US"/>
        </w:rPr>
      </w:pPr>
      <w:r>
        <w:rPr>
          <w:b/>
          <w:i/>
        </w:rPr>
        <w:t>Observation 5: For IE powerBoostPi2BPSK setting</w:t>
      </w:r>
      <w:r w:rsidRPr="002C736F">
        <w:rPr>
          <w:b/>
          <w:i/>
        </w:rPr>
        <w:t xml:space="preserve"> to 0, no requirements impact is identified for Pi/2 BPSK based DMRS in Rel-16.</w:t>
      </w:r>
      <w:r>
        <w:rPr>
          <w:b/>
          <w:i/>
        </w:rPr>
        <w:t xml:space="preserve">  </w:t>
      </w:r>
      <w:r>
        <w:rPr>
          <w:lang w:val="en-US"/>
        </w:rPr>
        <w:t xml:space="preserve"> </w:t>
      </w:r>
    </w:p>
    <w:p w:rsidR="007F1991" w:rsidRDefault="007F1991" w:rsidP="007F1991">
      <w:pPr>
        <w:spacing w:after="0" w:line="298" w:lineRule="auto"/>
        <w:rPr>
          <w:b/>
          <w:i/>
          <w:lang w:val="en-US"/>
        </w:rPr>
      </w:pPr>
    </w:p>
    <w:p w:rsidR="007F1991" w:rsidRPr="00FC0233" w:rsidRDefault="007F1991" w:rsidP="007F1991">
      <w:pPr>
        <w:spacing w:after="0" w:line="298" w:lineRule="auto"/>
      </w:pPr>
      <w:r>
        <w:rPr>
          <w:b/>
          <w:i/>
        </w:rPr>
        <w:t>Proposal: No RF requirements should be specified for pi/2 BPSK DMRS in Rel-16.</w:t>
      </w:r>
      <w:r w:rsidR="002644D0">
        <w:rPr>
          <w:b/>
          <w:i/>
        </w:rPr>
        <w:t xml:space="preserve"> </w:t>
      </w:r>
      <w:r w:rsidR="002644D0" w:rsidRPr="002644D0">
        <w:rPr>
          <w:b/>
          <w:i/>
        </w:rPr>
        <w:t>Enhancement for case of IE powerBoostPi2BPSK setting to 1 could be further studied in future release.</w:t>
      </w:r>
    </w:p>
    <w:p w:rsidR="007F1991" w:rsidRPr="007F1991" w:rsidRDefault="007F1991" w:rsidP="00303E78"/>
    <w:p w:rsidR="00B22DA6" w:rsidRDefault="00B22DA6" w:rsidP="00B22DA6">
      <w:pPr>
        <w:pStyle w:val="Heading1"/>
        <w:numPr>
          <w:ilvl w:val="0"/>
          <w:numId w:val="0"/>
        </w:numPr>
        <w:rPr>
          <w:rFonts w:eastAsia="宋体" w:hint="eastAsia"/>
          <w:lang w:eastAsia="zh-CN"/>
        </w:rPr>
      </w:pPr>
      <w:r>
        <w:t>References</w:t>
      </w:r>
    </w:p>
    <w:p w:rsidR="001402B6" w:rsidRDefault="001402B6" w:rsidP="001402B6">
      <w:r>
        <w:rPr>
          <w:rFonts w:hint="eastAsia"/>
        </w:rPr>
        <w:t>[1]</w:t>
      </w:r>
      <w:r>
        <w:t xml:space="preserve"> </w:t>
      </w:r>
      <w:r w:rsidRPr="00AD0F1F">
        <w:rPr>
          <w:lang w:val="en-US"/>
        </w:rPr>
        <w:t>RP-200618</w:t>
      </w:r>
      <w:r>
        <w:rPr>
          <w:lang w:val="en-US"/>
        </w:rPr>
        <w:t xml:space="preserve">, </w:t>
      </w:r>
      <w:r w:rsidRPr="00AD0F1F">
        <w:rPr>
          <w:lang w:val="en-US"/>
        </w:rPr>
        <w:t>Status Report: Enhancements on MIMO for NR</w:t>
      </w:r>
      <w:r>
        <w:rPr>
          <w:lang w:val="en-US"/>
        </w:rPr>
        <w:t>, Samsung</w:t>
      </w:r>
      <w:r w:rsidRPr="00B012AE">
        <w:t xml:space="preserve"> </w:t>
      </w:r>
    </w:p>
    <w:p w:rsidR="00B6186B" w:rsidRDefault="00B6186B" w:rsidP="00B6186B">
      <w:pPr>
        <w:rPr>
          <w:lang w:val="en-US"/>
        </w:rPr>
      </w:pPr>
      <w:r>
        <w:rPr>
          <w:lang w:val="en-US"/>
        </w:rPr>
        <w:t xml:space="preserve">[2] R1-1900020, </w:t>
      </w:r>
      <w:r w:rsidRPr="00011DDF">
        <w:rPr>
          <w:lang w:val="en-US"/>
        </w:rPr>
        <w:t>Discussion on DMRS sequence design for low PAPR</w:t>
      </w:r>
      <w:r>
        <w:rPr>
          <w:lang w:val="en-US"/>
        </w:rPr>
        <w:t>, Huawei, HiSilicon</w:t>
      </w:r>
    </w:p>
    <w:p w:rsidR="00B6186B" w:rsidRDefault="00B6186B" w:rsidP="00B6186B">
      <w:pPr>
        <w:rPr>
          <w:lang w:val="en-US"/>
        </w:rPr>
      </w:pPr>
      <w:r>
        <w:rPr>
          <w:rFonts w:hint="eastAsia"/>
          <w:lang w:val="en-US"/>
        </w:rPr>
        <w:t>[</w:t>
      </w:r>
      <w:r>
        <w:rPr>
          <w:lang w:val="en-US"/>
        </w:rPr>
        <w:t xml:space="preserve">3] </w:t>
      </w:r>
      <w:r w:rsidRPr="00391474">
        <w:rPr>
          <w:lang w:val="en-US"/>
        </w:rPr>
        <w:t>R1-1813898</w:t>
      </w:r>
      <w:r>
        <w:rPr>
          <w:lang w:val="en-US"/>
        </w:rPr>
        <w:t xml:space="preserve">, </w:t>
      </w:r>
      <w:r w:rsidRPr="00391474">
        <w:rPr>
          <w:lang w:val="en-US"/>
        </w:rPr>
        <w:t>Lower PAPR reference signals</w:t>
      </w:r>
      <w:r>
        <w:rPr>
          <w:lang w:val="en-US"/>
        </w:rPr>
        <w:t>, Qualcomm</w:t>
      </w:r>
    </w:p>
    <w:p w:rsidR="00B6186B" w:rsidRDefault="00B6186B" w:rsidP="00B6186B">
      <w:r>
        <w:rPr>
          <w:lang w:val="en-US"/>
        </w:rPr>
        <w:t xml:space="preserve">[4] </w:t>
      </w:r>
      <w:r w:rsidRPr="00271B11">
        <w:t>R4-2004737</w:t>
      </w:r>
      <w:r>
        <w:t xml:space="preserve">, </w:t>
      </w:r>
      <w:r w:rsidRPr="00011DDF">
        <w:t>On Pi/2 BPSK DMRS evaluation</w:t>
      </w:r>
      <w:r>
        <w:t>, Huawei, HiSilicon</w:t>
      </w:r>
    </w:p>
    <w:p w:rsidR="00B6186B" w:rsidRPr="00D60958" w:rsidRDefault="00B6186B" w:rsidP="00B6186B">
      <w:r w:rsidRPr="00D60958">
        <w:t>[</w:t>
      </w:r>
      <w:r>
        <w:t>5</w:t>
      </w:r>
      <w:r w:rsidRPr="00D60958">
        <w:t>] R4-1913761, On RF aspects of PI/2 BPSK DMRS, Qualcomm</w:t>
      </w:r>
    </w:p>
    <w:p w:rsidR="00C53757" w:rsidRDefault="0035262B" w:rsidP="00F71A33">
      <w:r>
        <w:rPr>
          <w:rFonts w:hint="eastAsia"/>
        </w:rPr>
        <w:t>[</w:t>
      </w:r>
      <w:r w:rsidR="002309BA">
        <w:t>6</w:t>
      </w:r>
      <w:r>
        <w:rPr>
          <w:rFonts w:hint="eastAsia"/>
        </w:rPr>
        <w:t>]</w:t>
      </w:r>
      <w:r w:rsidR="001402B6">
        <w:t xml:space="preserve"> R4-2008216, </w:t>
      </w:r>
      <w:r w:rsidR="001402B6" w:rsidRPr="001402B6">
        <w:t>On Pi_2 BPSK DMR</w:t>
      </w:r>
      <w:r w:rsidR="001402B6">
        <w:t>S, Huawei, HiSilicon</w:t>
      </w:r>
    </w:p>
    <w:p w:rsidR="00D73EEA" w:rsidRDefault="00D73EEA" w:rsidP="00F71A33">
      <w:pPr>
        <w:rPr>
          <w:lang w:val="en-US"/>
        </w:rPr>
      </w:pPr>
      <w:r>
        <w:rPr>
          <w:lang w:val="en-US"/>
        </w:rPr>
        <w:t>[</w:t>
      </w:r>
      <w:r w:rsidR="002309BA">
        <w:rPr>
          <w:lang w:val="en-US"/>
        </w:rPr>
        <w:t>7</w:t>
      </w:r>
      <w:r>
        <w:rPr>
          <w:lang w:val="en-US"/>
        </w:rPr>
        <w:t xml:space="preserve">] </w:t>
      </w:r>
      <w:r w:rsidR="001402B6" w:rsidRPr="001402B6">
        <w:rPr>
          <w:lang w:val="en-US"/>
        </w:rPr>
        <w:t>R4-2006822</w:t>
      </w:r>
      <w:r w:rsidR="001402B6">
        <w:rPr>
          <w:lang w:val="en-US"/>
        </w:rPr>
        <w:t xml:space="preserve">, </w:t>
      </w:r>
      <w:r w:rsidR="001402B6" w:rsidRPr="001402B6">
        <w:rPr>
          <w:lang w:val="en-US"/>
        </w:rPr>
        <w:t>Pi</w:t>
      </w:r>
      <w:r w:rsidR="001402B6">
        <w:rPr>
          <w:lang w:val="en-US"/>
        </w:rPr>
        <w:t>/</w:t>
      </w:r>
      <w:r w:rsidR="001402B6" w:rsidRPr="001402B6">
        <w:rPr>
          <w:lang w:val="en-US"/>
        </w:rPr>
        <w:t>2 BPSK DMRS Investigation</w:t>
      </w:r>
      <w:r w:rsidR="001402B6">
        <w:rPr>
          <w:lang w:val="en-US"/>
        </w:rPr>
        <w:t>, Qualcomm</w:t>
      </w:r>
    </w:p>
    <w:p w:rsidR="001402B6" w:rsidRPr="00A26D1F" w:rsidRDefault="001402B6" w:rsidP="00F71A33">
      <w:pPr>
        <w:rPr>
          <w:rFonts w:hint="eastAsia"/>
          <w:lang w:val="en-US"/>
        </w:rPr>
      </w:pPr>
      <w:r>
        <w:rPr>
          <w:lang w:val="en-US"/>
        </w:rPr>
        <w:t>[</w:t>
      </w:r>
      <w:r w:rsidR="002309BA">
        <w:rPr>
          <w:lang w:val="en-US"/>
        </w:rPr>
        <w:t>8</w:t>
      </w:r>
      <w:r>
        <w:rPr>
          <w:lang w:val="en-US"/>
        </w:rPr>
        <w:t xml:space="preserve">] R4-2006494, </w:t>
      </w:r>
      <w:r w:rsidRPr="001402B6">
        <w:rPr>
          <w:lang w:val="en-US"/>
        </w:rPr>
        <w:t>P</w:t>
      </w:r>
      <w:r>
        <w:rPr>
          <w:lang w:val="en-US"/>
        </w:rPr>
        <w:t>i/</w:t>
      </w:r>
      <w:r w:rsidRPr="001402B6">
        <w:rPr>
          <w:lang w:val="en-US"/>
        </w:rPr>
        <w:t>2 BPSK MPR simulations with new REL16 DMRS</w:t>
      </w:r>
      <w:r>
        <w:rPr>
          <w:lang w:val="en-US"/>
        </w:rPr>
        <w:t>, Nokia</w:t>
      </w:r>
    </w:p>
    <w:sectPr w:rsidR="001402B6" w:rsidRPr="00A26D1F"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BBB" w:rsidRDefault="00D63BBB" w:rsidP="0052762B">
      <w:r>
        <w:separator/>
      </w:r>
    </w:p>
  </w:endnote>
  <w:endnote w:type="continuationSeparator" w:id="0">
    <w:p w:rsidR="00D63BBB" w:rsidRDefault="00D63BB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BBB" w:rsidRDefault="00D63BBB" w:rsidP="0052762B">
      <w:r>
        <w:separator/>
      </w:r>
    </w:p>
  </w:footnote>
  <w:footnote w:type="continuationSeparator" w:id="0">
    <w:p w:rsidR="00D63BBB" w:rsidRDefault="00D63BB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7"/>
  </w:num>
  <w:num w:numId="5">
    <w:abstractNumId w:val="1"/>
  </w:num>
  <w:num w:numId="6">
    <w:abstractNumId w:val="36"/>
  </w:num>
  <w:num w:numId="7">
    <w:abstractNumId w:val="18"/>
  </w:num>
  <w:num w:numId="8">
    <w:abstractNumId w:val="30"/>
  </w:num>
  <w:num w:numId="9">
    <w:abstractNumId w:val="39"/>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0"/>
  </w:num>
  <w:num w:numId="18">
    <w:abstractNumId w:val="21"/>
  </w:num>
  <w:num w:numId="19">
    <w:abstractNumId w:val="26"/>
  </w:num>
  <w:num w:numId="20">
    <w:abstractNumId w:val="24"/>
  </w:num>
  <w:num w:numId="21">
    <w:abstractNumId w:val="15"/>
  </w:num>
  <w:num w:numId="22">
    <w:abstractNumId w:val="5"/>
  </w:num>
  <w:num w:numId="23">
    <w:abstractNumId w:val="23"/>
  </w:num>
  <w:num w:numId="24">
    <w:abstractNumId w:val="35"/>
  </w:num>
  <w:num w:numId="25">
    <w:abstractNumId w:val="8"/>
  </w:num>
  <w:num w:numId="26">
    <w:abstractNumId w:val="34"/>
  </w:num>
  <w:num w:numId="27">
    <w:abstractNumId w:val="33"/>
  </w:num>
  <w:num w:numId="28">
    <w:abstractNumId w:val="19"/>
  </w:num>
  <w:num w:numId="29">
    <w:abstractNumId w:val="38"/>
  </w:num>
  <w:num w:numId="30">
    <w:abstractNumId w:val="28"/>
  </w:num>
  <w:num w:numId="31">
    <w:abstractNumId w:val="17"/>
  </w:num>
  <w:num w:numId="32">
    <w:abstractNumId w:val="31"/>
  </w:num>
  <w:num w:numId="33">
    <w:abstractNumId w:val="6"/>
  </w:num>
  <w:num w:numId="34">
    <w:abstractNumId w:val="9"/>
  </w:num>
  <w:num w:numId="35">
    <w:abstractNumId w:val="32"/>
  </w:num>
  <w:num w:numId="36">
    <w:abstractNumId w:val="20"/>
  </w:num>
  <w:num w:numId="37">
    <w:abstractNumId w:val="7"/>
  </w:num>
  <w:num w:numId="38">
    <w:abstractNumId w:val="29"/>
  </w:num>
  <w:num w:numId="39">
    <w:abstractNumId w:val="3"/>
  </w:num>
  <w:num w:numId="40">
    <w:abstractNumId w:val="25"/>
  </w:num>
  <w:num w:numId="41">
    <w:abstractNumId w:val="16"/>
  </w:num>
  <w:num w:numId="42">
    <w:abstractNumId w:val="14"/>
  </w:num>
  <w:num w:numId="4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2B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9BA"/>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4D0"/>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0449"/>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7F"/>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6B9"/>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0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B7C33"/>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991"/>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C39"/>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5FA"/>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86B"/>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431"/>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BBB"/>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9727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CBA43D8-E338-4304-8949-98002B833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B4262"/>
  </w:style>
  <w:style w:type="character" w:customStyle="1" w:styleId="Heading1Char1">
    <w:name w:val="Heading 1 Char1"/>
    <w:aliases w:val="Char Char1,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 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 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 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 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 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 (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 (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 (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0">
    <w:name w:val="toc 9"/>
    <w:basedOn w:val="TOC8"/>
    <w:rsid w:val="00755136"/>
    <w:pPr>
      <w:keepNext/>
      <w:ind w:left="1418" w:hanging="1418"/>
    </w:pPr>
    <w:rPr>
      <w:rFonts w:eastAsia="MS Mincho"/>
      <w:lang w:eastAsia="en-GB"/>
    </w:rPr>
  </w:style>
  <w:style w:type="paragraph" w:customStyle="1" w:styleId="caption0">
    <w:name w:val="caption"/>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0">
    <w:name w:val="table of figures"/>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 Char Char7"/>
    <w:semiHidden/>
    <w:rsid w:val="00755136"/>
    <w:rPr>
      <w:rFonts w:ascii="Tahoma" w:hAnsi="Tahoma" w:cs="Tahoma"/>
      <w:shd w:val="clear" w:color="auto" w:fill="000080"/>
      <w:lang w:val="en-GB" w:eastAsia="en-US"/>
    </w:rPr>
  </w:style>
  <w:style w:type="character" w:customStyle="1" w:styleId="ZchnZchn5">
    <w:name w:val=" Zchn Zchn5"/>
    <w:rsid w:val="00755136"/>
    <w:rPr>
      <w:rFonts w:ascii="Courier New" w:eastAsia="Batang" w:hAnsi="Courier New"/>
      <w:lang w:val="nb-NO" w:eastAsia="en-US" w:bidi="ar-SA"/>
    </w:rPr>
  </w:style>
  <w:style w:type="character" w:customStyle="1" w:styleId="CharChar10">
    <w:name w:val=" Char Char10"/>
    <w:semiHidden/>
    <w:rsid w:val="00755136"/>
    <w:rPr>
      <w:rFonts w:ascii="Times New Roman" w:hAnsi="Times New Roman"/>
      <w:lang w:val="en-GB" w:eastAsia="en-US"/>
    </w:rPr>
  </w:style>
  <w:style w:type="character" w:customStyle="1" w:styleId="CharChar9">
    <w:name w:val=" Char Char9"/>
    <w:semiHidden/>
    <w:rsid w:val="00755136"/>
    <w:rPr>
      <w:rFonts w:ascii="Tahoma" w:hAnsi="Tahoma" w:cs="Tahoma"/>
      <w:sz w:val="16"/>
      <w:szCs w:val="16"/>
      <w:lang w:val="en-GB" w:eastAsia="en-US"/>
    </w:rPr>
  </w:style>
  <w:style w:type="character" w:customStyle="1" w:styleId="CharChar8">
    <w:name w:val=" 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 (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 Char Char29"/>
    <w:rsid w:val="00755136"/>
    <w:rPr>
      <w:rFonts w:ascii="Arial" w:hAnsi="Arial"/>
      <w:sz w:val="36"/>
      <w:lang w:val="en-GB" w:eastAsia="en-US" w:bidi="ar-SA"/>
    </w:rPr>
  </w:style>
  <w:style w:type="character" w:customStyle="1" w:styleId="CharChar28">
    <w:name w:val=" 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F77E7-5B4C-48F8-A310-9193CD196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8221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2020-08-07T21:18:00Z</dcterms:created>
  <dcterms:modified xsi:type="dcterms:W3CDTF">2020-08-07T21:18:00Z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(3)Ij0Zr8a5m9AMbSqOSLQXCn6sPyL/9N1E0ZqYAyYdXj5qiwqAHZ9oyNONj+UPNMRAPxqex0lI
v4jLNIhPHryzcddibPj6AgHpLwnDyxnGMLjfVksGypa9SklgtMlT7JlFN2hR/FLXsJLvNpWE
Lo284mAhYE9eoE2H3B1gcLP9tBy6Aqe8OI+g9U9TFLJbWaK1ggH5HQ6E/8jp2gYXgZfAQ21d
EWgyrmZbmRcRxEQcdu</vt:lpwstr>
  </property>
  <property fmtid="{D5CDD505-2E9C-101B-9397-08002B2CF9AE}" pid="15" name="_2015_ms_pID_725343_00">
    <vt:lpwstr>_2015_ms_pID_725343</vt:lpwstr>
  </property>
  <property fmtid="{D5CDD505-2E9C-101B-9397-08002B2CF9AE}" pid="16" name="_2015_ms_pID_7253431">
    <vt:lpwstr>2K3kxI3teYlJRfdj5Em3sI6eISOhuuV2GN24y/tRi+0wWRAWtp7plL
LByd+wuDCdXbYZtsFMBUFLQkV6Qmh7nosKMz6xZeUWFroglTLEJyP9CRxUOpwsIn01+pmhG0
QuCe8pvfiIS9rI5/x2WxtFosR1dmD4fe4Yf5Oeh4Anrd47Eay2ujX8hkJE8QYWPQmOG4obU7
656duxWmgKc2L8ZHeJP8og1RxKr2pg67K6W6</vt:lpwstr>
  </property>
  <property fmtid="{D5CDD505-2E9C-101B-9397-08002B2CF9AE}" pid="17" name="_2015_ms_pID_7253431_00">
    <vt:lpwstr>_2015_ms_pID_7253431</vt:lpwstr>
  </property>
  <property fmtid="{D5CDD505-2E9C-101B-9397-08002B2CF9AE}" pid="18" name="_2015_ms_pID_7253432">
    <vt:lpwstr>JvEduogjpRZnpoSgLIVqFDQ=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